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3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pStyle w:val="Title"/>
      </w:pPr>
      <w:r>
        <w:t>Plan działania Urzędu Gminy Stary Targ na rzecz poprawy zapewniania dostępności osobom ze szczególnymi potrzebami na lata 2025 - 2026</w:t>
      </w:r>
    </w:p>
    <w:p/>
    <w:p/>
    <w:p/>
    <w:p>
      <w:pPr>
        <w:jc w:val="end"/>
      </w:pPr>
      <w:r>
        <w:rPr/>
        <w:t xml:space="preserve">Data utworzenia dokumentu</w:t>
      </w:r>
    </w:p>
    <w:p>
      <w:pPr>
        <w:jc w:val="end"/>
      </w:pPr>
      <w:r>
        <w:rPr/>
        <w:t xml:space="preserve">2025-03-13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Spis treści</w:t>
      </w:r>
      <w:bookmarkEnd w:id="0"/>
    </w:p>
    <w:p/>
    <w:p/>
    <w:p>
      <w:pPr>
        <w:tabs>
          <w:tab w:val="right" w:leader="dot" w:pos="9062"/>
        </w:tabs>
        <w:ind w:left="200"/>
      </w:pPr>
      <w:r>
        <w:fldChar w:fldCharType="begin"/>
      </w:r>
      <w:r>
        <w:instrText xml:space="preserve">TOC \o 2-3 \h \z \u</w:instrText>
      </w:r>
      <w:r>
        <w:fldChar w:fldCharType="separate"/>
      </w:r>
      <w:hyperlink w:anchor="_Toc2" w:history="1">
        <w:r>
          <w:rPr>
            <w:sz w:val="24"/>
            <w:szCs w:val="24"/>
          </w:rPr>
          <w:t>Wstęp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3" w:history="1">
        <w:r>
          <w:rPr>
            <w:sz w:val="24"/>
            <w:szCs w:val="24"/>
          </w:rPr>
          <w:t>Podstawa prawna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4" w:history="1">
        <w:r>
          <w:rPr>
            <w:sz w:val="24"/>
            <w:szCs w:val="24"/>
          </w:rPr>
          <w:t>Przepisy regulujące sposób funkcjonowania podmiotu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5" w:history="1">
        <w:r>
          <w:rPr>
            <w:sz w:val="24"/>
            <w:szCs w:val="24"/>
          </w:rPr>
          <w:t>Dokumenty wewnętrzne podmiotu dotyczące dostępności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6" w:history="1">
        <w:r>
          <w:rPr>
            <w:sz w:val="24"/>
            <w:szCs w:val="24"/>
          </w:rPr>
          <w:t>Osoby ze szczególnymi potrzebami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7" w:history="1">
        <w:r>
          <w:rPr>
            <w:sz w:val="24"/>
            <w:szCs w:val="24"/>
          </w:rPr>
          <w:t>Analiza stanu zastanego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8" w:history="1">
        <w:r>
          <w:rPr>
            <w:sz w:val="24"/>
            <w:szCs w:val="24"/>
          </w:rPr>
          <w:t>Dotychczasowe działania na rzecz poprawy dostępności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9" w:history="1">
        <w:r>
          <w:rPr>
            <w:sz w:val="24"/>
            <w:szCs w:val="24"/>
          </w:rPr>
          <w:t>Cel i działania</w:t>
        </w:r>
        <w:r>
          <w:tab/>
        </w:r>
        <w:r>
          <w:fldChar w:fldCharType="begin"/>
        </w:r>
        <w:r>
          <w:instrText xml:space="preserve">PAGEREF _Toc9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0" w:history="1">
        <w:r>
          <w:rPr>
            <w:sz w:val="24"/>
            <w:szCs w:val="24"/>
          </w:rPr>
          <w:t>Harmonogram realizacji</w:t>
        </w:r>
        <w:r>
          <w:tab/>
        </w:r>
        <w:r>
          <w:fldChar w:fldCharType="begin"/>
        </w:r>
        <w:r>
          <w:instrText xml:space="preserve">PAGEREF _Toc10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11" w:history="1">
        <w:r>
          <w:rPr>
            <w:sz w:val="24"/>
            <w:szCs w:val="24"/>
          </w:rPr>
          <w:t>Dostępność architektoniczna</w:t>
        </w:r>
        <w:r>
          <w:tab/>
        </w:r>
        <w:r>
          <w:fldChar w:fldCharType="begin"/>
        </w:r>
        <w:r>
          <w:instrText xml:space="preserve">PAGEREF _Toc11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18" w:history="1">
        <w:r>
          <w:rPr>
            <w:sz w:val="24"/>
            <w:szCs w:val="24"/>
          </w:rPr>
          <w:t>Dostępność cyfrowa</w:t>
        </w:r>
        <w:r>
          <w:tab/>
        </w:r>
        <w:r>
          <w:fldChar w:fldCharType="begin"/>
        </w:r>
        <w:r>
          <w:instrText xml:space="preserve">PAGEREF _Toc18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19" w:history="1">
        <w:r>
          <w:rPr>
            <w:sz w:val="24"/>
            <w:szCs w:val="24"/>
          </w:rPr>
          <w:t>Dostępność informacyjno-komunikacyjna</w:t>
        </w:r>
        <w:r>
          <w:tab/>
        </w:r>
        <w:r>
          <w:fldChar w:fldCharType="begin"/>
        </w:r>
        <w:r>
          <w:instrText xml:space="preserve">PAGEREF _Toc19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22" w:history="1">
        <w:r>
          <w:rPr>
            <w:sz w:val="24"/>
            <w:szCs w:val="24"/>
          </w:rPr>
          <w:t>Pozostałe działania</w:t>
        </w:r>
        <w:r>
          <w:tab/>
        </w:r>
        <w:r>
          <w:fldChar w:fldCharType="begin"/>
        </w:r>
        <w:r>
          <w:instrText xml:space="preserve">PAGEREF _Toc22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23" w:history="1">
        <w:r>
          <w:rPr>
            <w:sz w:val="24"/>
            <w:szCs w:val="24"/>
          </w:rPr>
          <w:t>Szacowany koszt realizacji planu</w:t>
        </w:r>
        <w:r>
          <w:tab/>
        </w:r>
        <w:r>
          <w:fldChar w:fldCharType="begin"/>
        </w:r>
        <w:r>
          <w:instrText xml:space="preserve">PAGEREF _Toc23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24" w:history="1">
        <w:r>
          <w:rPr>
            <w:sz w:val="24"/>
            <w:szCs w:val="24"/>
          </w:rPr>
          <w:t>Monitoring realizacji</w:t>
        </w:r>
        <w:r>
          <w:tab/>
        </w:r>
        <w:r>
          <w:fldChar w:fldCharType="begin"/>
        </w:r>
        <w:r>
          <w:instrText xml:space="preserve">PAGEREF _Toc24 \h</w:instrText>
        </w:r>
        <w:r>
          <w:fldChar w:fldCharType="end"/>
        </w:r>
      </w:hyperlink>
    </w:p>
    <w:p>
      <w:r>
        <w:fldChar w:fldCharType="end"/>
      </w:r>
    </w:p>
    <w:p/>
    <w:p/>
    <w:p>
      <w:pPr>
        <w:sectPr>
          <w:footerReference w:type="default" r:id="rId8"/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pStyle w:val="Heading2"/>
      </w:pPr>
      <w:bookmarkStart w:id="1" w:name="_Toc2"/>
      <w:r>
        <w:t>Wstęp</w:t>
      </w:r>
      <w:bookmarkEnd w:id="1"/>
    </w:p>
    <w:p>
      <w:pPr/>
      <w:r>
        <w:rPr/>
        <w:t xml:space="preserve">Przygotowaliśmy plan działania na rzecz poprawy zapewniania dostępności osobom ze szczególnymi potrzebami. Będziemy realizować ten plan, żeby zwiększyć dostępność architektoniczną, cyfrową i informacyjno-komunikacyjną. Poprawi to jakość życia osób ze szczególnymi potrzebami, na przykład osób z niepełnosprawnością, seniorów, dzieci i innym. Przygotowaliśmy ten plan zgodnie z wymaganiami ustawy z dnia 19 lipca 2019 r. o zapewnianiu dostępności osobom ze szczególnymi potrzebami.</w:t>
      </w:r>
      <w:br/>
      <w:r>
        <w:rPr/>
        <w:t xml:space="preserve">Plan obejmuje 4 obszary dostępności:</w:t>
      </w:r>
    </w:p>
    <w:p>
      <w:pPr>
        <w:numPr>
          <w:ilvl w:val="0"/>
          <w:numId w:val="10"/>
        </w:numPr>
      </w:pPr>
      <w:r>
        <w:rPr/>
        <w:t xml:space="preserve">dostępność architektoniczna,</w:t>
      </w:r>
    </w:p>
    <w:p>
      <w:pPr>
        <w:numPr>
          <w:ilvl w:val="0"/>
          <w:numId w:val="10"/>
        </w:numPr>
      </w:pPr>
      <w:r>
        <w:rPr/>
        <w:t xml:space="preserve">dostępność cyfrowa,</w:t>
      </w:r>
    </w:p>
    <w:p>
      <w:pPr>
        <w:numPr>
          <w:ilvl w:val="0"/>
          <w:numId w:val="10"/>
        </w:numPr>
      </w:pPr>
      <w:r>
        <w:rPr/>
        <w:t xml:space="preserve">dostępność informacyjno- komunikacyjna,</w:t>
      </w:r>
    </w:p>
    <w:p>
      <w:pPr>
        <w:numPr>
          <w:ilvl w:val="0"/>
          <w:numId w:val="10"/>
        </w:numPr>
      </w:pPr>
      <w:r>
        <w:rPr/>
        <w:t xml:space="preserve">pozostałe działania.</w:t>
      </w:r>
    </w:p>
    <w:p>
      <w:pPr/>
      <w:r>
        <w:rPr/>
        <w:t xml:space="preserve">Jeżeli nie mogliśmy przyporządkować działania do rodzaju dostępności, umieszczaliśmy je w obszarze "pozostałe działania". Znajdziesz tam działania dotyczące na przykład:</w:t>
      </w:r>
    </w:p>
    <w:p>
      <w:pPr>
        <w:numPr>
          <w:ilvl w:val="0"/>
          <w:numId w:val="11"/>
        </w:numPr>
      </w:pPr>
      <w:r>
        <w:rPr/>
        <w:t xml:space="preserve">działań związanych z zatrudnieniem (rekrutacja, miejsca pracy)</w:t>
      </w:r>
    </w:p>
    <w:p>
      <w:pPr>
        <w:numPr>
          <w:ilvl w:val="0"/>
          <w:numId w:val="11"/>
        </w:numPr>
      </w:pPr>
      <w:r>
        <w:rPr/>
        <w:t xml:space="preserve">współpracy z organizacjami pozarządowymi;</w:t>
      </w:r>
    </w:p>
    <w:p>
      <w:pPr>
        <w:numPr>
          <w:ilvl w:val="0"/>
          <w:numId w:val="11"/>
        </w:numPr>
      </w:pPr>
      <w:r>
        <w:rPr/>
        <w:t xml:space="preserve">szkolenia pracowników;</w:t>
      </w:r>
    </w:p>
    <w:p>
      <w:pPr>
        <w:numPr>
          <w:ilvl w:val="0"/>
          <w:numId w:val="11"/>
        </w:numPr>
      </w:pPr>
      <w:r>
        <w:rPr/>
        <w:t xml:space="preserve">informowania o działaniach na rzecz dostępności;</w:t>
      </w:r>
    </w:p>
    <w:p>
      <w:pPr>
        <w:numPr>
          <w:ilvl w:val="0"/>
          <w:numId w:val="11"/>
        </w:numPr>
      </w:pPr>
      <w:r>
        <w:rPr/>
        <w:t xml:space="preserve">podnoszenia jakości obsługi klientów.</w:t>
      </w:r>
    </w:p>
    <w:p>
      <w:pPr/>
      <w:r>
        <w:rPr/>
        <w:t xml:space="preserve">W dalszej części planu stosujemy nazwę podmiot, która określa naszą instytucję.</w:t>
      </w:r>
    </w:p>
    <w:p>
      <w:pPr>
        <w:spacing w:after="250"/>
      </w:pPr>
      <w:pPr>
        <w:rPr/>
      </w:pPr>
    </w:p>
    <w:p>
      <w:pPr>
        <w:pStyle w:val="Heading2"/>
      </w:pPr>
      <w:bookmarkStart w:id="2" w:name="_Toc3"/>
      <w:r>
        <w:t>Podstawa prawna</w:t>
      </w:r>
      <w:bookmarkEnd w:id="2"/>
    </w:p>
    <w:p>
      <w:pPr/>
      <w:r>
        <w:rPr/>
        <w:t xml:space="preserve">Podstawą prawną do przygotowania planu na rzecz poprawy dostępności jest Ustawa z dnia 19 lipca 2019 r. o zapewnianiu dostępności osobom ze szczególnymi potrzebami (Dz. U. 2019 poz. 1696).</w:t>
      </w:r>
    </w:p>
    <w:p>
      <w:pPr/>
      <w:r>
        <w:rPr/>
        <w:t xml:space="preserve">Ustawa jest powiązana z Konwencją ONZ o prawach osób z niepełnosprawnościami sporządzoną w Nowym Jorku 13 grudnia 2006 r. (Dz.U. 2012 poz.1169).</w:t>
      </w:r>
    </w:p>
    <w:p>
      <w:pPr/>
      <w:r>
        <w:rPr/>
        <w:t xml:space="preserve">Inne ustawy dotyczące dostępności:</w:t>
      </w:r>
    </w:p>
    <w:p>
      <w:pPr>
        <w:numPr>
          <w:ilvl w:val="0"/>
          <w:numId w:val="12"/>
        </w:numPr>
      </w:pPr>
      <w:r>
        <w:rPr/>
        <w:t xml:space="preserve">ustawa z dnia 4 kwietnia 2019 r. o dostępności cyfrowej stron internetowych i aplikacji mobilnych podmiotów publicznych (Dz. U. 2019 poz. 848),</w:t>
      </w:r>
    </w:p>
    <w:p>
      <w:pPr>
        <w:numPr>
          <w:ilvl w:val="0"/>
          <w:numId w:val="12"/>
        </w:numPr>
      </w:pPr>
      <w:r>
        <w:rPr/>
        <w:t xml:space="preserve">ustawa z dnia 19 sierpnia 2011 r. o języku migowym i innych środkach komunikowania się Dz.U. 2011 Nr 209 poz. 1243).</w:t>
      </w:r>
    </w:p>
    <w:p>
      <w:pPr/>
      <w:r>
        <w:rPr/>
        <w:t xml:space="preserve">Przy tworzeniu planu uznaliśmy za istotne jeszcze inne ustawy, rozporządzenia i przepisy wewnętrzne. Część z nich dotyczy wprost dostępności, a część sposobu naszego działania.</w:t>
      </w:r>
    </w:p>
    <w:p>
      <w:pPr>
        <w:spacing w:after="250"/>
      </w:pPr>
      <w:pPr>
        <w:rPr/>
      </w:pPr>
    </w:p>
    <w:p>
      <w:pPr>
        <w:pStyle w:val="Heading3"/>
      </w:pPr>
      <w:bookmarkStart w:id="3" w:name="_Toc4"/>
      <w:r>
        <w:t>Przepisy regulujące sposób funkcjonowania podmiotu</w:t>
      </w:r>
      <w:bookmarkEnd w:id="3"/>
    </w:p>
    <w:p>
      <w:pPr>
        <w:numPr>
          <w:ilvl w:val="0"/>
          <w:numId w:val="13"/>
        </w:numPr>
      </w:pPr>
      <w:r>
        <w:rPr/>
        <w:t xml:space="preserve">Ustawa z dnia 8 marca 1990 r. o samorządzie gminnym (z późn.zm.)</w:t>
      </w:r>
    </w:p>
    <w:p>
      <w:pPr>
        <w:spacing w:after="250"/>
      </w:pPr>
      <w:pPr>
        <w:rPr/>
      </w:pPr>
    </w:p>
    <w:p>
      <w:pPr>
        <w:pStyle w:val="Heading3"/>
      </w:pPr>
      <w:bookmarkStart w:id="4" w:name="_Toc5"/>
      <w:r>
        <w:t>Dokumenty wewnętrzne podmiotu dotyczące dostępności</w:t>
      </w:r>
      <w:bookmarkEnd w:id="4"/>
    </w:p>
    <w:p>
      <w:pPr>
        <w:numPr>
          <w:ilvl w:val="0"/>
          <w:numId w:val="14"/>
        </w:numPr>
      </w:pPr>
      <w:r>
        <w:rPr/>
        <w:t xml:space="preserve">Zarządzenie Nr18/2025 Wójta Gminy Stary Targ z dnia 20 lutego 2025r. w sprawie wyznaczenia Koordynatora do Spraw Dostępności w Urzędzie Gminy w Starym Targu</w:t>
      </w:r>
    </w:p>
    <w:p>
      <w:pPr>
        <w:spacing w:after="250"/>
      </w:pPr>
      <w:pPr>
        <w:rPr/>
      </w:pPr>
    </w:p>
    <w:p>
      <w:pPr>
        <w:pStyle w:val="Heading2"/>
      </w:pPr>
      <w:bookmarkStart w:id="5" w:name="_Toc6"/>
      <w:r>
        <w:t>Osoby ze szczególnymi potrzebami</w:t>
      </w:r>
      <w:bookmarkEnd w:id="5"/>
    </w:p>
    <w:p>
      <w:pPr/>
      <w:r>
        <w:rPr/>
        <w:t xml:space="preserve">Na potrzeby planu przyjęliśmy, że "osoba ze szczególnymi potrzebami” to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>
      <w:pPr/>
      <w:r>
        <w:rPr/>
        <w:t xml:space="preserve">Taka definicja oznacza, że są to osoby z niepełnosprawnością, ale także inne osoby, na przykład:</w:t>
      </w:r>
    </w:p>
    <w:p>
      <w:pPr>
        <w:numPr>
          <w:ilvl w:val="0"/>
          <w:numId w:val="18"/>
        </w:numPr>
      </w:pPr>
      <w:r>
        <w:rPr/>
        <w:t xml:space="preserve">poruszające się na wózku lub o kulach,</w:t>
      </w:r>
    </w:p>
    <w:p>
      <w:pPr>
        <w:numPr>
          <w:ilvl w:val="0"/>
          <w:numId w:val="18"/>
        </w:numPr>
      </w:pPr>
      <w:r>
        <w:rPr/>
        <w:t xml:space="preserve">kurierzy i dostawcy z ciężkimi przesyłkami,</w:t>
      </w:r>
    </w:p>
    <w:p>
      <w:pPr>
        <w:numPr>
          <w:ilvl w:val="0"/>
          <w:numId w:val="18"/>
        </w:numPr>
      </w:pPr>
      <w:r>
        <w:rPr/>
        <w:t xml:space="preserve">rodzice z wózkami dziecięcymi,</w:t>
      </w:r>
    </w:p>
    <w:p>
      <w:pPr>
        <w:numPr>
          <w:ilvl w:val="0"/>
          <w:numId w:val="18"/>
        </w:numPr>
      </w:pPr>
      <w:r>
        <w:rPr/>
        <w:t xml:space="preserve">niewidome i słabowidzące,</w:t>
      </w:r>
    </w:p>
    <w:p>
      <w:pPr>
        <w:numPr>
          <w:ilvl w:val="0"/>
          <w:numId w:val="18"/>
        </w:numPr>
      </w:pPr>
      <w:r>
        <w:rPr/>
        <w:t xml:space="preserve">z niepełnosprawnością słuchu, Głusi,</w:t>
      </w:r>
    </w:p>
    <w:p>
      <w:pPr>
        <w:numPr>
          <w:ilvl w:val="0"/>
          <w:numId w:val="18"/>
        </w:numPr>
      </w:pPr>
      <w:r>
        <w:rPr/>
        <w:t xml:space="preserve">głuchoniewidome – z jednoczesnym uszkodzeniem wzroku i słuchu,</w:t>
      </w:r>
    </w:p>
    <w:p>
      <w:pPr>
        <w:numPr>
          <w:ilvl w:val="0"/>
          <w:numId w:val="18"/>
        </w:numPr>
      </w:pPr>
      <w:r>
        <w:rPr/>
        <w:t xml:space="preserve">z zaburzeniami psychicznymi,</w:t>
      </w:r>
    </w:p>
    <w:p>
      <w:pPr>
        <w:numPr>
          <w:ilvl w:val="0"/>
          <w:numId w:val="18"/>
        </w:numPr>
      </w:pPr>
      <w:r>
        <w:rPr/>
        <w:t xml:space="preserve">z niepełnosprawnością intelektualną,</w:t>
      </w:r>
    </w:p>
    <w:p>
      <w:pPr>
        <w:numPr>
          <w:ilvl w:val="0"/>
          <w:numId w:val="18"/>
        </w:numPr>
      </w:pPr>
      <w:r>
        <w:rPr/>
        <w:t xml:space="preserve">cudzoziemcy,</w:t>
      </w:r>
    </w:p>
    <w:p>
      <w:pPr>
        <w:numPr>
          <w:ilvl w:val="0"/>
          <w:numId w:val="18"/>
        </w:numPr>
      </w:pPr>
      <w:r>
        <w:rPr/>
        <w:t xml:space="preserve">mające trudności w komunikowaniu się z otoczeniem</w:t>
      </w:r>
    </w:p>
    <w:p>
      <w:pPr>
        <w:numPr>
          <w:ilvl w:val="0"/>
          <w:numId w:val="18"/>
        </w:numPr>
      </w:pPr>
      <w:r>
        <w:rPr/>
        <w:t xml:space="preserve">o nietypowym wzroście (bardzo niskie lub bardzo wysokie),</w:t>
      </w:r>
    </w:p>
    <w:p>
      <w:pPr>
        <w:numPr>
          <w:ilvl w:val="0"/>
          <w:numId w:val="18"/>
        </w:numPr>
      </w:pPr>
      <w:r>
        <w:rPr/>
        <w:t xml:space="preserve">starsze, u których szczególne potrzeby pojawiły się wraz z wiekiem,</w:t>
      </w:r>
    </w:p>
    <w:p>
      <w:pPr>
        <w:numPr>
          <w:ilvl w:val="0"/>
          <w:numId w:val="18"/>
        </w:numPr>
      </w:pPr>
      <w:r>
        <w:rPr/>
        <w:t xml:space="preserve">kobiety w ciąży.</w:t>
      </w:r>
    </w:p>
    <w:p>
      <w:pPr/>
      <w:r>
        <w:rPr/>
        <w:t xml:space="preserve">Każdy może mieć szczególne potrzeby na jakimś etapie życia lub w konkretnej sytuacji. Dostępność pomaga wszystkim.</w:t>
      </w:r>
    </w:p>
    <w:p>
      <w:pPr>
        <w:spacing w:after="250"/>
      </w:pPr>
      <w:pPr>
        <w:rPr/>
      </w:pPr>
    </w:p>
    <w:p>
      <w:pPr>
        <w:pStyle w:val="Heading2"/>
      </w:pPr>
      <w:bookmarkStart w:id="6" w:name="_Toc7"/>
      <w:r>
        <w:t>Analiza stanu zastanego</w:t>
      </w:r>
      <w:bookmarkEnd w:id="6"/>
    </w:p>
    <w:p>
      <w:pPr/>
      <w:r>
        <w:rPr/>
        <w:t xml:space="preserve">Mieścimy się w jednym budynku. Nie posiadamy oddziałów/wydziałów zamiejscowych/innych.</w:t>
      </w:r>
      <w:br/>
      <w:r>
        <w:rPr/>
        <w:t xml:space="preserve">Jesteśmy administratorem jednej strony internetowej.</w:t>
      </w:r>
      <w:br/>
      <w:r>
        <w:rPr/>
        <w:t xml:space="preserve">Przed przystąpieniem do przygotowania planu wykonaliśmy analizy zapotrzebowania we wspłpracy z Gops, którego siedziba znajduję się w jednym budynku wraz z Urzędem Gminy. </w:t>
      </w:r>
    </w:p>
    <w:p>
      <w:pPr>
        <w:spacing w:after="250"/>
      </w:pPr>
      <w:pPr>
        <w:rPr/>
      </w:pPr>
    </w:p>
    <w:p>
      <w:pPr>
        <w:pStyle w:val="Heading2"/>
      </w:pPr>
      <w:bookmarkStart w:id="7" w:name="_Toc8"/>
      <w:r>
        <w:t>Dotychczasowe działania na rzecz poprawy dostępności</w:t>
      </w:r>
      <w:bookmarkEnd w:id="7"/>
    </w:p>
    <w:p>
      <w:pPr/>
      <w:r>
        <w:rPr/>
        <w:t xml:space="preserve">Systematycznie podejmujemy działania, żeby zwiększyć dostępność dla osób ze szczególnymi potrzebami. Poniżej opisaliśmy te działania, podzielone na 4 obszary:</w:t>
      </w:r>
    </w:p>
    <w:p>
      <w:pPr>
        <w:numPr>
          <w:ilvl w:val="0"/>
          <w:numId w:val="19"/>
        </w:numPr>
      </w:pPr>
      <w:r>
        <w:rPr/>
        <w:t xml:space="preserve">dostępność architektoniczna,</w:t>
      </w:r>
    </w:p>
    <w:p>
      <w:pPr>
        <w:numPr>
          <w:ilvl w:val="0"/>
          <w:numId w:val="19"/>
        </w:numPr>
      </w:pPr>
      <w:r>
        <w:rPr/>
        <w:t xml:space="preserve">dostępność cyfrowa,</w:t>
      </w:r>
    </w:p>
    <w:p>
      <w:pPr>
        <w:numPr>
          <w:ilvl w:val="0"/>
          <w:numId w:val="19"/>
        </w:numPr>
      </w:pPr>
      <w:r>
        <w:rPr/>
        <w:t xml:space="preserve">dostępność informacyjno- komunikacyjna,</w:t>
      </w:r>
    </w:p>
    <w:p>
      <w:pPr>
        <w:numPr>
          <w:ilvl w:val="0"/>
          <w:numId w:val="19"/>
        </w:numPr>
      </w:pPr>
      <w:r>
        <w:rPr/>
        <w:t xml:space="preserve">pozostałe działania.</w:t>
      </w:r>
    </w:p>
    <w:p>
      <w:pPr/>
      <w:r>
        <w:rPr/>
        <w:t xml:space="preserve">Te zrealizowane działania są dla nas częścią analizy stanu zastanego. Dzięki nim nabraliśmy doświadczenia i możemy lepiej zaplanować kolejne działania.</w:t>
      </w:r>
    </w:p>
    <w:p>
      <w:pPr>
        <w:spacing w:after="250"/>
      </w:pPr>
      <w:pPr>
        <w:rPr/>
      </w:pP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Działania w obszarze dostępności architektonicznej</w:t>
      </w:r>
    </w:p>
    <w:p>
      <w:pPr>
        <w:numPr>
          <w:ilvl w:val="1"/>
          <w:numId w:val="15"/>
        </w:numPr>
      </w:pPr>
      <w:r>
        <w:rPr/>
        <w:t xml:space="preserve">Instalacja platformy siedzącej umożliwiającej wjazd na piętro budynku.</w:t>
      </w:r>
    </w:p>
    <w:p>
      <w:pPr>
        <w:numPr>
          <w:ilvl w:val="1"/>
          <w:numId w:val="15"/>
        </w:numPr>
      </w:pPr>
      <w:r>
        <w:rPr/>
        <w:t xml:space="preserve">Audyt dostępności architektonicznej</w:t>
      </w:r>
    </w:p>
    <w:p>
      <w:pPr>
        <w:numPr>
          <w:ilvl w:val="1"/>
          <w:numId w:val="15"/>
        </w:numPr>
      </w:pPr>
      <w:r>
        <w:rPr/>
        <w:t xml:space="preserve">Oznakowanie schodów wewnętrznych taśmą kontrastową.</w:t>
      </w:r>
    </w:p>
    <w:p>
      <w:pPr>
        <w:numPr>
          <w:ilvl w:val="1"/>
          <w:numId w:val="15"/>
        </w:numPr>
      </w:pPr>
      <w:r>
        <w:rPr/>
        <w:t xml:space="preserve">Zapewnienie miejsc parkingowych dla osób z niepełnosprawnościami, tzw. niebieskie koperty, w ramach istniejącego parkingu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Działania w obszarze dostępności cyfrowej</w:t>
      </w:r>
    </w:p>
    <w:p>
      <w:pPr>
        <w:numPr>
          <w:ilvl w:val="1"/>
          <w:numId w:val="15"/>
        </w:numPr>
      </w:pPr>
      <w:r>
        <w:rPr/>
        <w:t xml:space="preserve">Dodanie tekstów alternatywnych do zdjęć opublikowanych w serwisie Instagram po 23 września 2020 r.</w:t>
      </w:r>
    </w:p>
    <w:p>
      <w:pPr>
        <w:numPr>
          <w:ilvl w:val="1"/>
          <w:numId w:val="15"/>
        </w:numPr>
      </w:pPr>
      <w:r>
        <w:rPr/>
        <w:t xml:space="preserve">Przeprowadzenie audytu dostępności cyfrowej strony internetowej przez podmiot zewnętrzny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Działania w obszarze dostępności informacyjno-komunikacyjnej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Działania w obszarze pozostałych działaniach</w:t>
      </w:r>
    </w:p>
    <w:p/>
    <w:p>
      <w:pPr>
        <w:pStyle w:val="Heading2"/>
      </w:pPr>
      <w:bookmarkStart w:id="8" w:name="_Toc9"/>
      <w:r>
        <w:t>Cel i działania</w:t>
      </w:r>
      <w:bookmarkEnd w:id="8"/>
    </w:p>
    <w:p>
      <w:pPr/>
      <w:r>
        <w:rPr/>
        <w:t xml:space="preserve">Celem planu jest stopniowe zwiększanie dostępności dla osób ze szczególnymi potrzebami. Plan zawiera działania i harmonogram ich realizacji. Zrealizowane działania podniosą dostępność i poprawią jakość życia wszystkich. Będzie to możliwe dzięki zmianie podejścia do osób ze szczególnymi potrzebami oraz projektowaniu usług dostępnych dla wszystkich. Zmiany będą dotyczyć zarówno pracowników, jak i ludzi z zewnątrz, na przykład klientów.</w:t>
      </w:r>
    </w:p>
    <w:p/>
    <w:p>
      <w:pPr/>
      <w:r>
        <w:rPr/>
        <w:t xml:space="preserve">Cel planu zostanie zrealizowany poprzez następujące działania: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Działania w obszarze dostępności architektonicznej</w:t>
      </w:r>
    </w:p>
    <w:p>
      <w:pPr>
        <w:numPr>
          <w:ilvl w:val="1"/>
          <w:numId w:val="17"/>
        </w:numPr>
      </w:pPr>
      <w:r>
        <w:rPr/>
        <w:t xml:space="preserve">Rozmieszczenie wysoko kontrastowego planu budynku.</w:t>
      </w:r>
    </w:p>
    <w:p>
      <w:pPr>
        <w:numPr>
          <w:ilvl w:val="1"/>
          <w:numId w:val="17"/>
        </w:numPr>
      </w:pPr>
      <w:r>
        <w:rPr/>
        <w:t xml:space="preserve">Zapewnienie dostępności w korytarzu prowadzącym do sekretariatu Urzędu Gminy poprzez przebudowę 2 stopni na podjazd..</w:t>
      </w:r>
    </w:p>
    <w:p>
      <w:pPr>
        <w:numPr>
          <w:ilvl w:val="1"/>
          <w:numId w:val="17"/>
        </w:numPr>
      </w:pPr>
      <w:r>
        <w:rPr/>
        <w:t xml:space="preserve">Oznakowanie przeźroczystych (szklanych) drzwi wejściowych.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Działania w obszarze dostępności cyfrowej</w:t>
      </w:r>
    </w:p>
    <w:p>
      <w:pPr>
        <w:numPr>
          <w:ilvl w:val="1"/>
          <w:numId w:val="17"/>
        </w:numPr>
      </w:pPr>
      <w:r>
        <w:rPr/>
        <w:t xml:space="preserve">Brak.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Działania w obszarze dostępności informacyjno-komunikacyjnej</w:t>
      </w:r>
    </w:p>
    <w:p>
      <w:pPr>
        <w:numPr>
          <w:ilvl w:val="1"/>
          <w:numId w:val="17"/>
        </w:numPr>
      </w:pPr>
      <w:r>
        <w:rPr/>
        <w:t xml:space="preserve">Nawiązanie współpracy z tłumaczami PJM.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Działania w obszarze pozostałych działaniach</w:t>
      </w:r>
    </w:p>
    <w:p>
      <w:pPr>
        <w:numPr>
          <w:ilvl w:val="1"/>
          <w:numId w:val="17"/>
        </w:numPr>
      </w:pPr>
      <w:r>
        <w:rPr/>
        <w:t xml:space="preserve">Brak.</w:t>
      </w:r>
    </w:p>
    <w:p/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pStyle w:val="Heading2"/>
      </w:pPr>
      <w:bookmarkStart w:id="9" w:name="_Toc10"/>
      <w:r>
        <w:t>Harmonogram realizacji</w:t>
      </w:r>
      <w:bookmarkEnd w:id="9"/>
    </w:p>
    <w:p>
      <w:pPr>
        <w:pStyle w:val="Heading3"/>
      </w:pPr>
      <w:bookmarkStart w:id="10" w:name="_Toc11"/>
      <w:r>
        <w:t>Dostępność architektoniczna</w:t>
      </w:r>
      <w:bookmarkEnd w:id="10"/>
    </w:p>
    <w:p>
      <w:pPr>
        <w:pStyle w:val="Heading4"/>
      </w:pPr>
      <w:bookmarkStart w:id="11" w:name="_Toc12"/>
      <w:r>
        <w:t>1. Rozmieszczenie wysoko kontrastowego planu budynku</w:t>
      </w:r>
      <w:bookmarkEnd w:id="11"/>
    </w:p>
    <w:p>
      <w:pPr/>
      <w:r>
        <w:rPr>
          <w:b w:val="1"/>
          <w:bCs w:val="1"/>
        </w:rPr>
        <w:t xml:space="preserve">Priorytet: </w:t>
      </w:r>
      <w:r>
        <w:rPr/>
        <w:t xml:space="preserve">Niski - podnoszące jakość dostępności</w:t>
      </w:r>
    </w:p>
    <w:p/>
    <w:p>
      <w:pPr>
        <w:pStyle w:val="Heading5"/>
      </w:pPr>
      <w:bookmarkStart w:id="12" w:name="_Toc13"/>
      <w:r>
        <w:t>Zadania</w:t>
      </w:r>
      <w:bookmarkEnd w:id="12"/>
    </w:p>
    <w:tbl>
      <w:tblGrid>
        <w:gridCol w:w="650" w:type="dxa"/>
        <w:gridCol w:w="6000" w:type="dxa"/>
        <w:gridCol w:w="3000" w:type="dxa"/>
        <w:gridCol w:w="1300" w:type="dxa"/>
        <w:gridCol w:w="1500" w:type="dxa"/>
      </w:tblGrid>
      <w:tblPr>
        <w:tblStyle w:val="Fancy Table"/>
      </w:tblPr>
      <w:tr>
        <w:trPr>
          <w:tblHeader w:val="1"/>
        </w:trPr>
        <w:tc>
          <w:tcPr>
            <w:tcW w:w="65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Lp.</w:t>
            </w:r>
          </w:p>
        </w:tc>
        <w:tc>
          <w:tcPr>
            <w:tcW w:w="6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Nazwa</w:t>
            </w:r>
          </w:p>
        </w:tc>
        <w:tc>
          <w:tcPr>
            <w:tcW w:w="3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Jednostka odpowiedzialna</w:t>
            </w:r>
          </w:p>
        </w:tc>
        <w:tc>
          <w:tcPr>
            <w:tcW w:w="13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Czas trwania [tyg.]</w:t>
            </w:r>
          </w:p>
        </w:tc>
        <w:tc>
          <w:tcPr>
            <w:tcW w:w="15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Szacowany koszt [zł]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1. 1</w:t>
            </w:r>
          </w:p>
        </w:tc>
        <w:tc>
          <w:tcPr>
            <w:noWrap/>
          </w:tcPr>
          <w:p>
            <w:pPr/>
            <w:r>
              <w:rPr/>
              <w:t xml:space="preserve">Zakup i montaż tablicy z planami budynku</w:t>
            </w:r>
          </w:p>
        </w:tc>
        <w:tc>
          <w:tcPr>
            <w:noWrap/>
          </w:tcPr>
          <w:p>
            <w:pPr/>
            <w:r>
              <w:rPr/>
              <w:t xml:space="preserve">administrator budynku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500</w:t>
            </w:r>
          </w:p>
        </w:tc>
      </w:tr>
    </w:tbl>
    <w:p/>
    <w:p>
      <w:pPr>
        <w:pStyle w:val="Heading4"/>
      </w:pPr>
      <w:bookmarkStart w:id="13" w:name="_Toc14"/>
      <w:r>
        <w:t>2. Zapewnienie dostępności w korytarzu prowadzącym do sekretariatu Urzędu Gminy poprzez przebudowę 2 stopni na podjazd.</w:t>
      </w:r>
      <w:bookmarkEnd w:id="13"/>
    </w:p>
    <w:p>
      <w:pPr/>
      <w:r>
        <w:rPr>
          <w:b w:val="1"/>
          <w:bCs w:val="1"/>
        </w:rPr>
        <w:t xml:space="preserve">Priorytet: </w:t>
      </w:r>
      <w:r>
        <w:rPr/>
        <w:t xml:space="preserve">Niski - podnoszące jakość dostępności</w:t>
      </w:r>
    </w:p>
    <w:p/>
    <w:p>
      <w:pPr>
        <w:pStyle w:val="Heading5"/>
      </w:pPr>
      <w:bookmarkStart w:id="14" w:name="_Toc15"/>
      <w:r>
        <w:t>Zadania</w:t>
      </w:r>
      <w:bookmarkEnd w:id="14"/>
    </w:p>
    <w:tbl>
      <w:tblGrid>
        <w:gridCol w:w="650" w:type="dxa"/>
        <w:gridCol w:w="6000" w:type="dxa"/>
        <w:gridCol w:w="3000" w:type="dxa"/>
        <w:gridCol w:w="1300" w:type="dxa"/>
        <w:gridCol w:w="1500" w:type="dxa"/>
      </w:tblGrid>
      <w:tblPr>
        <w:tblStyle w:val="Fancy Table"/>
      </w:tblPr>
      <w:tr>
        <w:trPr>
          <w:tblHeader w:val="1"/>
        </w:trPr>
        <w:tc>
          <w:tcPr>
            <w:tcW w:w="65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Lp.</w:t>
            </w:r>
          </w:p>
        </w:tc>
        <w:tc>
          <w:tcPr>
            <w:tcW w:w="6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Nazwa</w:t>
            </w:r>
          </w:p>
        </w:tc>
        <w:tc>
          <w:tcPr>
            <w:tcW w:w="3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Jednostka odpowiedzialna</w:t>
            </w:r>
          </w:p>
        </w:tc>
        <w:tc>
          <w:tcPr>
            <w:tcW w:w="13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Czas trwania [tyg.]</w:t>
            </w:r>
          </w:p>
        </w:tc>
        <w:tc>
          <w:tcPr>
            <w:tcW w:w="15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Szacowany koszt [zł]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2. 1</w:t>
            </w:r>
          </w:p>
        </w:tc>
        <w:tc>
          <w:tcPr>
            <w:noWrap/>
          </w:tcPr>
          <w:p>
            <w:pPr/>
            <w:r>
              <w:rPr/>
              <w:t xml:space="preserve">Zakup materiałów potrzebnych do przebudowy</w:t>
            </w:r>
          </w:p>
        </w:tc>
        <w:tc>
          <w:tcPr>
            <w:noWrap/>
          </w:tcPr>
          <w:p>
            <w:pPr/>
            <w:r>
              <w:rPr/>
              <w:t xml:space="preserve">administrator budynku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2. 2</w:t>
            </w:r>
          </w:p>
        </w:tc>
        <w:tc>
          <w:tcPr>
            <w:noWrap/>
          </w:tcPr>
          <w:p>
            <w:pPr/>
            <w:r>
              <w:rPr/>
              <w:t xml:space="preserve">Przebudowa korytarza w budynku Urzędu Gminy. Stworzenie podjazdu dla wózków</w:t>
            </w:r>
          </w:p>
        </w:tc>
        <w:tc>
          <w:tcPr>
            <w:noWrap/>
          </w:tcPr>
          <w:p>
            <w:pPr/>
            <w:r>
              <w:rPr/>
              <w:t xml:space="preserve">administrator budynku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>
      <w:pPr>
        <w:pStyle w:val="Heading4"/>
      </w:pPr>
      <w:bookmarkStart w:id="15" w:name="_Toc16"/>
      <w:r>
        <w:t>3. Oznakowanie przeźroczystych (szklanych) drzwi wejściowych</w:t>
      </w:r>
      <w:bookmarkEnd w:id="15"/>
    </w:p>
    <w:p>
      <w:pPr/>
      <w:r>
        <w:rPr/>
        <w:t xml:space="preserve">W wyniku audytu wiemy, że trzeba oznakować drzwi wejściowe do budynku. Celem jest zapewnienie bezpieczeństwa osobom słabowidzącym.</w:t>
      </w:r>
    </w:p>
    <w:p>
      <w:pPr/>
      <w:r>
        <w:rPr>
          <w:b w:val="1"/>
          <w:bCs w:val="1"/>
        </w:rPr>
        <w:t xml:space="preserve">Priorytet: </w:t>
      </w:r>
      <w:r>
        <w:rPr/>
        <w:t xml:space="preserve">Niski - podnoszące jakość dostępności</w:t>
      </w:r>
    </w:p>
    <w:p>
      <w:pPr/>
      <w:r>
        <w:rPr>
          <w:b w:val="1"/>
          <w:bCs w:val="1"/>
        </w:rPr>
        <w:t xml:space="preserve">Data początkowa: </w:t>
      </w:r>
      <w:r>
        <w:rPr/>
        <w:t xml:space="preserve">2025-09-12</w:t>
      </w:r>
    </w:p>
    <w:p/>
    <w:p>
      <w:pPr>
        <w:pStyle w:val="Heading5"/>
      </w:pPr>
      <w:bookmarkStart w:id="16" w:name="_Toc17"/>
      <w:r>
        <w:t>Zadania</w:t>
      </w:r>
      <w:bookmarkEnd w:id="16"/>
    </w:p>
    <w:tbl>
      <w:tblGrid>
        <w:gridCol w:w="650" w:type="dxa"/>
        <w:gridCol w:w="6000" w:type="dxa"/>
        <w:gridCol w:w="3000" w:type="dxa"/>
        <w:gridCol w:w="1300" w:type="dxa"/>
        <w:gridCol w:w="1500" w:type="dxa"/>
      </w:tblGrid>
      <w:tblPr>
        <w:tblStyle w:val="Fancy Table"/>
      </w:tblPr>
      <w:tr>
        <w:trPr>
          <w:tblHeader w:val="1"/>
        </w:trPr>
        <w:tc>
          <w:tcPr>
            <w:tcW w:w="65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Lp.</w:t>
            </w:r>
          </w:p>
        </w:tc>
        <w:tc>
          <w:tcPr>
            <w:tcW w:w="6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Nazwa</w:t>
            </w:r>
          </w:p>
        </w:tc>
        <w:tc>
          <w:tcPr>
            <w:tcW w:w="3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Jednostka odpowiedzialna</w:t>
            </w:r>
          </w:p>
        </w:tc>
        <w:tc>
          <w:tcPr>
            <w:tcW w:w="13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Czas trwania [tyg.]</w:t>
            </w:r>
          </w:p>
        </w:tc>
        <w:tc>
          <w:tcPr>
            <w:tcW w:w="15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Szacowany koszt [zł]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3. 1</w:t>
            </w:r>
          </w:p>
        </w:tc>
        <w:tc>
          <w:tcPr>
            <w:noWrap/>
          </w:tcPr>
          <w:p>
            <w:pPr/>
            <w:r>
              <w:rPr/>
              <w:t xml:space="preserve">Zakup taśmy samoprzylepnej do naklejenia na drzwi</w:t>
            </w:r>
          </w:p>
        </w:tc>
        <w:tc>
          <w:tcPr>
            <w:noWrap/>
          </w:tcPr>
          <w:p>
            <w:pPr/>
            <w:r>
              <w:rPr/>
              <w:t xml:space="preserve">administrator budynku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3. 2</w:t>
            </w:r>
          </w:p>
        </w:tc>
        <w:tc>
          <w:tcPr>
            <w:noWrap/>
          </w:tcPr>
          <w:p>
            <w:pPr/>
            <w:r>
              <w:rPr/>
              <w:t xml:space="preserve">Oklejenie drzwi taśmą</w:t>
            </w:r>
          </w:p>
        </w:tc>
        <w:tc>
          <w:tcPr>
            <w:noWrap/>
          </w:tcPr>
          <w:p>
            <w:pPr/>
            <w:r>
              <w:rPr/>
              <w:t xml:space="preserve">administrator budynku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/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>
        <w:pStyle w:val="Heading3"/>
      </w:pPr>
      <w:bookmarkStart w:id="17" w:name="_Toc18"/>
      <w:r>
        <w:t>Dostępność cyfrowa</w:t>
      </w:r>
      <w:bookmarkEnd w:id="17"/>
    </w:p>
    <w:p>
      <w:pPr/>
      <w:r>
        <w:rPr/>
        <w:t xml:space="preserve">Brak przypisanych działań</w:t>
      </w:r>
    </w:p>
    <w:p/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>
        <w:pStyle w:val="Heading3"/>
      </w:pPr>
      <w:bookmarkStart w:id="18" w:name="_Toc19"/>
      <w:r>
        <w:t>Dostępność informacyjno-komunikacyjna</w:t>
      </w:r>
      <w:bookmarkEnd w:id="18"/>
    </w:p>
    <w:p>
      <w:pPr>
        <w:pStyle w:val="Heading4"/>
      </w:pPr>
      <w:bookmarkStart w:id="19" w:name="_Toc20"/>
      <w:r>
        <w:t>1. Nawiązanie współpracy z tłumaczami PJM</w:t>
      </w:r>
      <w:bookmarkEnd w:id="19"/>
    </w:p>
    <w:p>
      <w:pPr/>
      <w:r>
        <w:rPr/>
        <w:t xml:space="preserve">Wynika z : art.6 ust. 3 pkt. a) ustawy z dnia 19 lipca 2019 r. o zapewnianiu dostępności osobom ze szczególnymi potrzebami oraz z ustawy z dnia 19 sierpnia 2011 r. o języku migowym i innych środkach komunikowania się poz. 1824 oraz z 2022 r. poz. 583 i 830). cel: zapewnienie dostępu do informacji.</w:t>
      </w:r>
    </w:p>
    <w:p>
      <w:pPr/>
      <w:r>
        <w:rPr>
          <w:b w:val="1"/>
          <w:bCs w:val="1"/>
        </w:rPr>
        <w:t xml:space="preserve">Priorytet: </w:t>
      </w:r>
      <w:r>
        <w:rPr/>
        <w:t xml:space="preserve">Wysoki - wynikający wprost z przepisów</w:t>
      </w:r>
    </w:p>
    <w:p>
      <w:pPr/>
      <w:r>
        <w:rPr>
          <w:b w:val="1"/>
          <w:bCs w:val="1"/>
        </w:rPr>
        <w:t xml:space="preserve">Data początkowa: </w:t>
      </w:r>
      <w:r>
        <w:rPr/>
        <w:t xml:space="preserve">2025-04-22</w:t>
      </w:r>
    </w:p>
    <w:p/>
    <w:p>
      <w:pPr>
        <w:pStyle w:val="Heading5"/>
      </w:pPr>
      <w:bookmarkStart w:id="20" w:name="_Toc21"/>
      <w:r>
        <w:t>Zadania</w:t>
      </w:r>
      <w:bookmarkEnd w:id="20"/>
    </w:p>
    <w:tbl>
      <w:tblGrid>
        <w:gridCol w:w="650" w:type="dxa"/>
        <w:gridCol w:w="6000" w:type="dxa"/>
        <w:gridCol w:w="3000" w:type="dxa"/>
        <w:gridCol w:w="1300" w:type="dxa"/>
        <w:gridCol w:w="1500" w:type="dxa"/>
      </w:tblGrid>
      <w:tblPr>
        <w:tblStyle w:val="Fancy Table"/>
      </w:tblPr>
      <w:tr>
        <w:trPr>
          <w:tblHeader w:val="1"/>
        </w:trPr>
        <w:tc>
          <w:tcPr>
            <w:tcW w:w="65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Lp.</w:t>
            </w:r>
          </w:p>
        </w:tc>
        <w:tc>
          <w:tcPr>
            <w:tcW w:w="6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Nazwa</w:t>
            </w:r>
          </w:p>
        </w:tc>
        <w:tc>
          <w:tcPr>
            <w:tcW w:w="3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Jednostka odpowiedzialna</w:t>
            </w:r>
          </w:p>
        </w:tc>
        <w:tc>
          <w:tcPr>
            <w:tcW w:w="13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Czas trwania [tyg.]</w:t>
            </w:r>
          </w:p>
        </w:tc>
        <w:tc>
          <w:tcPr>
            <w:tcW w:w="15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Szacowany koszt [zł]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1. 1</w:t>
            </w:r>
          </w:p>
        </w:tc>
        <w:tc>
          <w:tcPr>
            <w:noWrap/>
          </w:tcPr>
          <w:p>
            <w:pPr/>
            <w:r>
              <w:rPr/>
              <w:t xml:space="preserve">ustalenie zasad współpracy oraz komunikowania się przy realizacji usługi</w:t>
            </w:r>
          </w:p>
        </w:tc>
        <w:tc>
          <w:tcPr>
            <w:noWrap/>
          </w:tcPr>
          <w:p>
            <w:pPr/>
            <w:r>
              <w:rPr/>
              <w:t xml:space="preserve">administrator budynku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1. 2</w:t>
            </w:r>
          </w:p>
        </w:tc>
        <w:tc>
          <w:tcPr>
            <w:noWrap/>
          </w:tcPr>
          <w:p>
            <w:pPr/>
            <w:r>
              <w:rPr/>
              <w:t xml:space="preserve">podpisanie umowy z podmiotem zewnętrznym</w:t>
            </w:r>
          </w:p>
        </w:tc>
        <w:tc>
          <w:tcPr>
            <w:noWrap/>
          </w:tcPr>
          <w:p>
            <w:pPr/>
            <w:r>
              <w:rPr/>
              <w:t xml:space="preserve">administrator budynku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1. 3</w:t>
            </w:r>
          </w:p>
        </w:tc>
        <w:tc>
          <w:tcPr>
            <w:noWrap/>
          </w:tcPr>
          <w:p>
            <w:pPr/>
            <w:r>
              <w:rPr/>
              <w:t xml:space="preserve">umieszczenie informacji o dostępności usługi tłumacza PJM w stronie www podmiotu (np. zakładka kontakt lub inna dedykowana dostępności) responsible: komórka IT/redaktor_ka strony www</w:t>
            </w:r>
          </w:p>
        </w:tc>
        <w:tc>
          <w:tcPr>
            <w:noWrap/>
          </w:tcPr>
          <w:p>
            <w:pPr/>
            <w:r>
              <w:rPr/>
              <w:t xml:space="preserve">administrator budynku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/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>
        <w:pStyle w:val="Heading3"/>
      </w:pPr>
      <w:bookmarkStart w:id="21" w:name="_Toc22"/>
      <w:r>
        <w:t>Pozostałe działania</w:t>
      </w:r>
      <w:bookmarkEnd w:id="21"/>
    </w:p>
    <w:p>
      <w:pPr/>
      <w:r>
        <w:rPr/>
        <w:t xml:space="preserve">Brak przypisanych działań</w:t>
      </w:r>
    </w:p>
    <w:p/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>
        <w:pStyle w:val="Heading2"/>
      </w:pPr>
      <w:bookmarkStart w:id="22" w:name="_Toc23"/>
      <w:r>
        <w:t>Szacowany koszt realizacji planu</w:t>
      </w:r>
      <w:bookmarkEnd w:id="22"/>
    </w:p>
    <w:p>
      <w:pPr>
        <w:numPr>
          <w:ilvl w:val="0"/>
          <w:numId w:val="16"/>
        </w:numPr>
      </w:pPr>
      <w:r>
        <w:rPr/>
        <w:t xml:space="preserve">Dostępność architektoniczna: </w:t>
      </w:r>
      <w:r>
        <w:rPr>
          <w:b w:val="1"/>
          <w:bCs w:val="1"/>
        </w:rPr>
        <w:t xml:space="preserve">4 600</w:t>
      </w:r>
      <w:r>
        <w:rPr/>
        <w:t xml:space="preserve"> zł</w:t>
      </w:r>
    </w:p>
    <w:p>
      <w:pPr>
        <w:numPr>
          <w:ilvl w:val="0"/>
          <w:numId w:val="16"/>
        </w:numPr>
      </w:pPr>
      <w:r>
        <w:rPr/>
        <w:t xml:space="preserve">Dostępność cyfrowa: </w:t>
      </w:r>
      <w:r>
        <w:rPr>
          <w:b w:val="1"/>
          <w:bCs w:val="1"/>
        </w:rPr>
        <w:t xml:space="preserve">0</w:t>
      </w:r>
      <w:r>
        <w:rPr/>
        <w:t xml:space="preserve"> zł</w:t>
      </w:r>
    </w:p>
    <w:p>
      <w:pPr>
        <w:numPr>
          <w:ilvl w:val="0"/>
          <w:numId w:val="16"/>
        </w:numPr>
      </w:pPr>
      <w:r>
        <w:rPr/>
        <w:t xml:space="preserve">Dostępność informacyjno-komunikacyjna: </w:t>
      </w:r>
      <w:r>
        <w:rPr>
          <w:b w:val="1"/>
          <w:bCs w:val="1"/>
        </w:rPr>
        <w:t xml:space="preserve">0</w:t>
      </w:r>
      <w:r>
        <w:rPr/>
        <w:t xml:space="preserve"> zł</w:t>
      </w:r>
    </w:p>
    <w:p>
      <w:pPr>
        <w:numPr>
          <w:ilvl w:val="0"/>
          <w:numId w:val="16"/>
        </w:numPr>
      </w:pPr>
      <w:r>
        <w:rPr/>
        <w:t xml:space="preserve">Pozostałe działania: </w:t>
      </w:r>
      <w:r>
        <w:rPr>
          <w:b w:val="1"/>
          <w:bCs w:val="1"/>
        </w:rPr>
        <w:t xml:space="preserve">0</w:t>
      </w:r>
      <w:r>
        <w:rPr/>
        <w:t xml:space="preserve"> zł</w:t>
      </w:r>
    </w:p>
    <w:p/>
    <w:p>
      <w:pPr/>
      <w:r>
        <w:rPr/>
        <w:t xml:space="preserve">Suma szacowanych kosztów: </w:t>
      </w:r>
      <w:r>
        <w:rPr>
          <w:b w:val="1"/>
          <w:bCs w:val="1"/>
        </w:rPr>
        <w:t xml:space="preserve">4 600</w:t>
      </w:r>
      <w:r>
        <w:rPr/>
        <w:t xml:space="preserve"> zł</w:t>
      </w:r>
    </w:p>
    <w:p/>
    <w:p>
      <w:pPr>
        <w:pStyle w:val="Heading2"/>
      </w:pPr>
      <w:bookmarkStart w:id="23" w:name="_Toc24"/>
      <w:r>
        <w:t>Monitoring realizacji</w:t>
      </w:r>
      <w:bookmarkEnd w:id="23"/>
    </w:p>
    <w:p>
      <w:pPr/>
      <w:r>
        <w:rPr/>
        <w:t xml:space="preserve">Koordynator/ka do spraw dostępności będzie prowadzić stały monitoring realizacji planu. Po zakończeniu każdego roku realizacji planu przygotuje sprawozdanie. Sprawozdanie ma być gotowe do 31 stycznia.</w:t>
      </w:r>
      <w:br/>
      <w:r>
        <w:rPr/>
        <w:t xml:space="preserve">Sprawozdanie powinno zawierać informacje o zrealizowanych działaniach wraz z ich liczbą, czasem realizacji oraz kosztem, a także wnioski oraz rekomendacje do dalszego działania lub zmian w planie.</w:t>
      </w:r>
      <w:br/>
      <w:r>
        <w:rPr/>
        <w:t xml:space="preserve">Kierownik podmiotu przyjmuje sprawozdanie, a koordynator/ka aktualizuje plan, o ile jest to konieczne. Taka konieczność może wynikać z treści sprawozdania lub z innych powodów. Plan trzeba zaktualizować przede wszystkim wtedy, gdy jakieś działanie nie zostało zrealizowane zgodnie z planem. Mogą się pojawić inne sytuacje, na przykład zmiana przepisów, pojawienie się nowych rozwiązań technicznych lub pojawienie się kolejnych obszarów wymagających zapewnienia dostępności.</w:t>
      </w:r>
      <w:br/>
      <w:r>
        <w:rPr/>
        <w:t xml:space="preserve">Kierownik podmiotu zatwierdza zaktualizowany plan i zleca opublikowanie go w biuletynie informacji publicznej i na stronie internetowej.</w:t>
      </w:r>
    </w:p>
    <w:p>
      <w:pPr>
        <w:spacing w:after="250"/>
      </w:pPr>
      <w:pPr>
        <w:rPr/>
      </w:pPr>
    </w:p>
    <w:p/>
    <w:p>
      <w:pPr/>
      <w:r>
        <w:rPr/>
        <w:t xml:space="preserve"> </w:t>
      </w:r>
    </w:p>
    <w:p>
      <w:pPr/>
      <w:r>
        <w:rPr/>
        <w:t xml:space="preserve">Plan został przygotowany przez: Jacek Szaran, Łukasz Pawłowski</w:t>
      </w:r>
    </w:p>
    <w:p>
      <w:pPr/>
      <w:r>
        <w:rPr/>
        <w:t xml:space="preserve"> </w:t>
      </w:r>
    </w:p>
    <w:p>
      <w:pPr/>
      <w:r>
        <w:rPr/>
        <w:t xml:space="preserve">Osoba zatwierdzająca plan: Sebastian Szwarc</w:t>
      </w:r>
    </w:p>
    <w:p>
      <w:pPr>
        <w:spacing w:after="250"/>
      </w:pPr>
      <w:pPr>
        <w:rPr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end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  <w:r>
      <w:t xml:space="preserve">.</w:t>
    </w:r>
  </w:p>
  <w:p>
    <w:pPr/>
    <w:r>
      <w:rPr/>
      <w:t xml:space="preserve">Dokument wygenerowany na </w:t>
    </w:r>
    <w:hyperlink r:id="rId1" w:history="1">
      <w:r>
        <w:t xml:space="preserve">https://deklaracja-dostepnosci.info/planer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FF7EDD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E408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59B8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F0F22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720"/>
        </w:tabs>
        <w:ind w:left="720" w:hanging="360"/>
      </w:pPr>
      <w:rPr>
        <w:rFonts/>
      </w:rPr>
    </w:lvl>
  </w:abstractNum>
  <w:abstractNum w:abstractNumId="14">
    <w:nsid w:val="B9933FE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720"/>
        </w:tabs>
        <w:ind w:left="720" w:hanging="360"/>
      </w:pPr>
      <w:rPr>
        <w:rFonts/>
      </w:rPr>
    </w:lvl>
  </w:abstractNum>
  <w:abstractNum w:abstractNumId="15">
    <w:nsid w:val="91C239A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720"/>
        </w:tabs>
        <w:ind w:left="720" w:hanging="360"/>
      </w:pPr>
      <w:rPr>
        <w:rFonts/>
      </w:rPr>
    </w:lvl>
  </w:abstractNum>
  <w:abstractNum w:abstractNumId="16">
    <w:nsid w:val="0731A46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720"/>
        </w:tabs>
        <w:ind w:left="720" w:hanging="360"/>
      </w:pPr>
      <w:rPr>
        <w:rFonts/>
      </w:rPr>
    </w:lvl>
  </w:abstractNum>
  <w:abstractNum w:abstractNumId="17">
    <w:nsid w:val="3641078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720"/>
        </w:tabs>
        <w:ind w:left="720" w:hanging="360"/>
      </w:pPr>
      <w:rPr>
        <w:rFonts/>
      </w:rPr>
    </w:lvl>
  </w:abstractNum>
  <w:abstractNum w:abstractNumId="18">
    <w:nsid w:val="DF428D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3F5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pl-PL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pl-PL"/>
      </w:rPr>
    </w:rPrDefault>
  </w:docDefaults>
  <w:style w:type="paragraph" w:default="1" w:styleId="Normal">
    <w:name w:val="Normal"/>
    <w:pPr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sz w:val="32"/>
      <w:szCs w:val="32"/>
      <w:b w:val="1"/>
      <w:bCs w:val="1"/>
      <w:i w:val="1"/>
      <w:iCs w:val="1"/>
      <w:dstrike w:val="1"/>
      <w:smallCaps w:val="0"/>
      <w:caps w:val="1"/>
    </w:rPr>
  </w:style>
  <w:style w:type="paragraph" w:customStyle="1" w:styleId="pStyle">
    <w:name w:val="pStyle"/>
    <w:basedOn w:val="Normal"/>
    <w:pPr>
      <w:jc w:val="center"/>
    </w:pPr>
  </w:style>
  <w:style w:type="paragraph" w:styleId="Title">
    <w:link w:val="titleChar"/>
    <w:name w:val="title"/>
    <w:basedOn w:val="Normal"/>
    <w:pPr>
      <w:jc w:val="center"/>
      <w:spacing w:after="350"/>
    </w:pPr>
    <w:rPr>
      <w:sz w:val="44"/>
      <w:szCs w:val="44"/>
      <w:b w:val="1"/>
      <w:bCs w:val="1"/>
    </w:rPr>
  </w:style>
  <w:style w:type="paragraph" w:styleId="Heading1">
    <w:link w:val="Heading1Char"/>
    <w:name w:val="heading 1"/>
    <w:basedOn w:val="Normal"/>
    <w:pPr>
      <w:jc w:val="center"/>
      <w:spacing w:after="35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start"/>
      <w:spacing w:after="250"/>
    </w:pPr>
    <w:rPr>
      <w:sz w:val="34"/>
      <w:szCs w:val="34"/>
      <w:b w:val="1"/>
      <w:bCs w:val="1"/>
    </w:rPr>
  </w:style>
  <w:style w:type="paragraph" w:styleId="Heading3">
    <w:link w:val="Heading3Char"/>
    <w:name w:val="heading 3"/>
    <w:basedOn w:val="Normal"/>
    <w:pPr>
      <w:jc w:val="start"/>
      <w:spacing w:after="200"/>
    </w:pPr>
    <w:rPr>
      <w:sz w:val="30"/>
      <w:szCs w:val="30"/>
      <w:b w:val="1"/>
      <w:bCs w:val="1"/>
    </w:rPr>
  </w:style>
  <w:style w:type="paragraph" w:styleId="Heading4">
    <w:link w:val="Heading4Char"/>
    <w:name w:val="heading 4"/>
    <w:basedOn w:val="Normal"/>
    <w:pPr>
      <w:jc w:val="start"/>
      <w:spacing w:after="200"/>
    </w:pPr>
    <w:rPr>
      <w:sz w:val="26"/>
      <w:szCs w:val="26"/>
      <w:b w:val="1"/>
      <w:bCs w:val="1"/>
    </w:rPr>
  </w:style>
  <w:style w:type="paragraph" w:styleId="Heading5">
    <w:link w:val="Heading5Char"/>
    <w:name w:val="heading 5"/>
    <w:basedOn w:val="Normal"/>
    <w:pPr>
      <w:jc w:val="start"/>
      <w:spacing w:after="150"/>
    </w:pPr>
    <w:rPr>
      <w:sz w:val="24"/>
      <w:szCs w:val="24"/>
      <w:b w:val="1"/>
      <w:bCs w:val="1"/>
    </w:rPr>
  </w:style>
  <w:style w:type="table" w:customStyle="1" w:styleId="Fancy Table">
    <w:name w:val="Fancy Table"/>
    <w:uiPriority w:val="99"/>
    <w:tblPr>
      <w:jc w:val="center"/>
      <w:tblW w:w="0" w:type="auto"/>
      <w:tblCellSpacing w:w="50" w:type="dxa"/>
      <w:tblLayout w:type="autofit"/>
      <w:tblCellMar>
        <w:top w:w="50" w:type="dxa"/>
        <w:left w:w="50" w:type="dxa"/>
        <w:right w:w="50" w:type="dxa"/>
        <w:bottom w:w="50" w:type="dxa"/>
      </w:tblCellMar>
    </w:tblPr>
    <w:tblStylePr w:type="firstRow">
      <w:tcPr>
        <w:tblBorders>
          <w:bottom w:val="single" w:sz="18" w:color="0000FF"/>
        </w:tblBorders>
        <w:tcPr>
          <w:shd w:val="clear" w:fill="CCCCCC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4.xml"/></Relationships>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s://deklaracja-dostepnosci.info/pla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2025-03-13T07:43:59+01:00</dcterms:created>
  <dcterms:modified xsi:type="dcterms:W3CDTF">2025-03-13T07:43:59+01:00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